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AF" w:rsidRDefault="00D10CAF" w:rsidP="008C139A"/>
    <w:p w:rsidR="00D10CAF" w:rsidRDefault="00D10CAF" w:rsidP="008C139A"/>
    <w:p w:rsidR="00D10CAF" w:rsidRDefault="00D10CAF" w:rsidP="008C139A"/>
    <w:p w:rsidR="00D10CAF" w:rsidRDefault="00D10CAF" w:rsidP="008C139A"/>
    <w:p w:rsidR="00D10CAF" w:rsidRDefault="00D10CAF" w:rsidP="008C139A"/>
    <w:p w:rsidR="006E59B7" w:rsidRPr="00CC4B87" w:rsidRDefault="00D10CAF" w:rsidP="006E59B7">
      <w:pPr>
        <w:ind w:left="6095"/>
        <w:rPr>
          <w:rFonts w:ascii="Times New Roman" w:hAnsi="Times New Roman"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6E59B7" w:rsidRPr="00CC4B87">
        <w:rPr>
          <w:rFonts w:ascii="Times New Roman" w:hAnsi="Times New Roman"/>
          <w:bCs/>
          <w:sz w:val="20"/>
          <w:szCs w:val="20"/>
        </w:rPr>
        <w:t xml:space="preserve">Załącznik nr 3   </w:t>
      </w:r>
    </w:p>
    <w:p w:rsidR="006E59B7" w:rsidRPr="00CC4B87" w:rsidRDefault="005B770A" w:rsidP="006E59B7">
      <w:pPr>
        <w:ind w:left="5387" w:firstLine="70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 uchwały nr ...352</w:t>
      </w:r>
      <w:r w:rsidR="006E59B7" w:rsidRPr="00CC4B87">
        <w:rPr>
          <w:rFonts w:ascii="Times New Roman" w:hAnsi="Times New Roman"/>
          <w:bCs/>
          <w:sz w:val="20"/>
          <w:szCs w:val="20"/>
        </w:rPr>
        <w:t>../18</w:t>
      </w:r>
    </w:p>
    <w:p w:rsidR="006E59B7" w:rsidRPr="00CC4B87" w:rsidRDefault="006E59B7" w:rsidP="006E59B7">
      <w:pPr>
        <w:ind w:left="5387" w:firstLine="708"/>
        <w:rPr>
          <w:rFonts w:ascii="Times New Roman" w:hAnsi="Times New Roman"/>
          <w:bCs/>
          <w:sz w:val="20"/>
          <w:szCs w:val="20"/>
        </w:rPr>
      </w:pPr>
      <w:r w:rsidRPr="00CC4B87">
        <w:rPr>
          <w:rFonts w:ascii="Times New Roman" w:hAnsi="Times New Roman"/>
          <w:bCs/>
          <w:sz w:val="20"/>
          <w:szCs w:val="20"/>
        </w:rPr>
        <w:t>Zarządu  Powiatu Kwidzyńskiego</w:t>
      </w:r>
    </w:p>
    <w:p w:rsidR="006E59B7" w:rsidRPr="00CC4B87" w:rsidRDefault="005B770A" w:rsidP="006E59B7">
      <w:pPr>
        <w:ind w:left="5387" w:firstLine="70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 dnia 29 maja </w:t>
      </w:r>
      <w:bookmarkStart w:id="0" w:name="_GoBack"/>
      <w:bookmarkEnd w:id="0"/>
      <w:r w:rsidR="006E59B7" w:rsidRPr="00CC4B87">
        <w:rPr>
          <w:rFonts w:ascii="Times New Roman" w:hAnsi="Times New Roman"/>
          <w:bCs/>
          <w:sz w:val="20"/>
          <w:szCs w:val="20"/>
        </w:rPr>
        <w:t>2018 r.</w:t>
      </w:r>
    </w:p>
    <w:p w:rsidR="006E59B7" w:rsidRPr="00CC4B87" w:rsidRDefault="006E59B7" w:rsidP="006E59B7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D10CAF" w:rsidRPr="00400667" w:rsidRDefault="00D10CAF" w:rsidP="00795178">
      <w:pPr>
        <w:tabs>
          <w:tab w:val="left" w:pos="945"/>
        </w:tabs>
        <w:rPr>
          <w:sz w:val="20"/>
          <w:szCs w:val="20"/>
        </w:rPr>
      </w:pP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675484">
        <w:rPr>
          <w:rFonts w:ascii="Times New Roman" w:hAnsi="Times New Roman"/>
          <w:b/>
        </w:rPr>
        <w:t xml:space="preserve">Regulamin rekrutacji uczniów </w:t>
      </w: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675484">
        <w:rPr>
          <w:rFonts w:ascii="Times New Roman" w:hAnsi="Times New Roman"/>
          <w:b/>
        </w:rPr>
        <w:t>do projektu „Zdolni z Pomorza – powiat kwidzyński”</w:t>
      </w:r>
    </w:p>
    <w:p w:rsidR="006E59B7" w:rsidRPr="00675484" w:rsidRDefault="006E59B7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675484">
        <w:rPr>
          <w:rFonts w:ascii="Times New Roman" w:hAnsi="Times New Roman"/>
          <w:b/>
        </w:rPr>
        <w:t>(tekst jednolity)</w:t>
      </w: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675484">
        <w:rPr>
          <w:rFonts w:ascii="Times New Roman" w:hAnsi="Times New Roman"/>
          <w:b/>
        </w:rPr>
        <w:t>§ 1</w:t>
      </w: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675484">
        <w:rPr>
          <w:rFonts w:ascii="Times New Roman" w:hAnsi="Times New Roman"/>
          <w:b/>
        </w:rPr>
        <w:t>Postanowienia ogólne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Regulamin określa szczegółowe zasady, warunki oraz tryb rekrutacji uczniów uzdolnionych w ramach projektu „Zdolni z Pomorza – powiat kwidzyński”. 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Ilekroć w dalszych zapisach Regulaminu jest mowa bez bliższego określenia o: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arkuszu nominacji – należy przez to rozumieć dokument, który należy złożyć w celu zgłoszenia uczestnictwa ucznia uzdolnionego do projektu, którego wzór stanowi </w:t>
      </w:r>
      <w:r w:rsidRPr="00050569">
        <w:rPr>
          <w:rFonts w:ascii="Times New Roman" w:hAnsi="Times New Roman"/>
          <w:u w:val="single"/>
        </w:rPr>
        <w:t>załącznik nr 1</w:t>
      </w:r>
      <w:r w:rsidRPr="00050569">
        <w:rPr>
          <w:rFonts w:ascii="Times New Roman" w:hAnsi="Times New Roman"/>
        </w:rPr>
        <w:t xml:space="preserve"> do regulaminu; </w:t>
      </w:r>
    </w:p>
    <w:p w:rsidR="00D10CAF" w:rsidRPr="00050569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dziedzinie objętej wsparciem – należy przez to rozumieć uzdolnienia ucznia objęte wsparciem w ramach projektu, tj. matematykę, fizykę lub informatykę, a także biologię, </w:t>
      </w:r>
      <w:r w:rsidR="00003044">
        <w:rPr>
          <w:rFonts w:ascii="Times New Roman" w:hAnsi="Times New Roman"/>
        </w:rPr>
        <w:t>chemię i kompetencje społeczne;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komisji – należy przez to rozumieć Powiatową komisję rekrutacyjną powołaną</w:t>
      </w:r>
      <w:r w:rsidR="00EA50B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na dany rok szkolny przez Starostę Kwidzyńskiego w celu prowadzenia naboru uczniów do projektu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w powiecie;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liście wymaganych osiągnięć w olimpiadach i konkursach – należy przez to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rozumieć publikowaną corocznie przez komisję listę osiągnięć uprawniających ucznia</w:t>
      </w:r>
      <w:r w:rsidR="00EA50B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do skorzystania z uproszczonej formy rekrutacji w trybie standardowym</w:t>
      </w:r>
      <w:r w:rsidR="00EA50B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lub z rekrutacji w trybie „otwartych drzwi”;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LCNK – należy przez to rozumieć Lokalne Centrum Nauczania Kreatywnego zorganizowane w powiecie kwidzyńskim w Poradni Psychologiczno-Pedagogicznej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 Kwidzynie przy ul. Grudziądzkiej 8 ;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modelu – należy przez to rozumieć model wspierania uczniów szczególnie uzdolnionych wypracowany w projekcie innowacyjnym pn. „Pomorskie – dobry kurs na edukację. Wspieranie uczniów o szczególnych predyspozycjach w zakresie matematyki, fizyki i informatyki”, zrealizowanym w latach 2010-2013 przez Samorząd Województwa Pomorskiego; </w:t>
      </w:r>
    </w:p>
    <w:p w:rsidR="00675484" w:rsidRPr="00050569" w:rsidRDefault="00675484" w:rsidP="00675484">
      <w:pPr>
        <w:suppressAutoHyphens/>
        <w:spacing w:line="276" w:lineRule="auto"/>
        <w:jc w:val="both"/>
        <w:rPr>
          <w:rFonts w:ascii="Times New Roman" w:hAnsi="Times New Roman"/>
        </w:rPr>
      </w:pPr>
    </w:p>
    <w:p w:rsidR="00FB2D6E" w:rsidRPr="00050569" w:rsidRDefault="00FB2D6E" w:rsidP="00675484">
      <w:pPr>
        <w:suppressAutoHyphens/>
        <w:spacing w:line="276" w:lineRule="auto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obszarze – należy przez to rozumieć jeden z następujących bloków dziedzin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objętych wsparciem:</w:t>
      </w:r>
    </w:p>
    <w:p w:rsidR="00D10CAF" w:rsidRPr="00050569" w:rsidRDefault="00D10CAF" w:rsidP="00795178">
      <w:pPr>
        <w:spacing w:line="276" w:lineRule="auto"/>
        <w:ind w:left="162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a) matematyka, fizyka i informatyka,</w:t>
      </w:r>
    </w:p>
    <w:p w:rsidR="00D10CAF" w:rsidRPr="00050569" w:rsidRDefault="00D10CAF" w:rsidP="00795178">
      <w:pPr>
        <w:spacing w:line="276" w:lineRule="auto"/>
        <w:ind w:left="162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b) biologia i chemia,</w:t>
      </w:r>
    </w:p>
    <w:p w:rsidR="00D10CAF" w:rsidRPr="00050569" w:rsidRDefault="00D10CAF" w:rsidP="00795178">
      <w:pPr>
        <w:spacing w:line="276" w:lineRule="auto"/>
        <w:ind w:left="162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c) kompetencje społeczne; </w:t>
      </w:r>
    </w:p>
    <w:p w:rsidR="00D10CAF" w:rsidRPr="00050569" w:rsidRDefault="005860F5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oświadczeniu – należy przez to rozmieć dokumenty zawierające oświadczenie dotyczące przetwarzania danych osobowych ucznia oraz oświadczenie dotyczące rekrutacji w ramach projektu, których wzór stanowi </w:t>
      </w:r>
      <w:r w:rsidRPr="00050569">
        <w:rPr>
          <w:rFonts w:ascii="Times New Roman" w:hAnsi="Times New Roman"/>
          <w:u w:val="single"/>
        </w:rPr>
        <w:t>załącznik nr 2</w:t>
      </w:r>
      <w:r w:rsidRPr="00050569">
        <w:rPr>
          <w:rFonts w:ascii="Times New Roman" w:hAnsi="Times New Roman"/>
        </w:rPr>
        <w:t xml:space="preserve"> i </w:t>
      </w:r>
      <w:r w:rsidRPr="00050569">
        <w:rPr>
          <w:rFonts w:ascii="Times New Roman" w:hAnsi="Times New Roman"/>
          <w:u w:val="single"/>
        </w:rPr>
        <w:t>załącznik nr 2a</w:t>
      </w:r>
      <w:r w:rsidRPr="00050569">
        <w:rPr>
          <w:rFonts w:ascii="Times New Roman" w:hAnsi="Times New Roman"/>
        </w:rPr>
        <w:t xml:space="preserve"> do regulaminu;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poradni – należy przez to rozmieć Poradnię Psychologiczno-Pedagogiczną</w:t>
      </w:r>
      <w:r w:rsidR="005860F5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Kwidzynie; </w:t>
      </w:r>
    </w:p>
    <w:p w:rsidR="00D10CAF" w:rsidRPr="00050569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projekcie – należy przez to rozumieć projekt „Zdolni z Pomorza – powiat kwidzyński”; </w:t>
      </w:r>
    </w:p>
    <w:p w:rsidR="00D10CAF" w:rsidRPr="00050569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projekcie kwalifikacyjnym – należy przez to rozumieć projekt realizowany przez ucznia w ramach rekrutacji standardowej w obszarze biologii i chemii oraz obszarze  kompetencji społecznych,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przewodniczącym – należy przez to rozumieć przewodniczącego komisji;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RCNK – należy przez to rozumieć Regionalne Centrum Nauczania Kreatywnego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z siedzibą w Centrum Edukacji Nauczycieli w Gdańsku;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– należy przez to rozumieć Test uzdolnień kierunkowych stosowany w ramach rekrutacji standardowej w obszarze matematyki, fizyki i informatyki; </w:t>
      </w:r>
    </w:p>
    <w:p w:rsidR="00D10CAF" w:rsidRPr="00050569" w:rsidRDefault="00FD1350" w:rsidP="00A46CF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uczniu – należy przez to rozumieć ucznia klasy VII lub VIII szkoły podstawowej, klasy gimnazjalnej, gimnazjum, szkoły ponadgimnazjalnej,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szkoły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ponadpodstawowej, a w uzasadnionych przypadkach także ucznia wcześniejszych klas szkoły podstawowej, posiadającego szczególne predyspozycje w zakresie dziedzin objętych wsparciem w ramach projektu;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wniosku – należy przez to rozumieć dokument, który jest podstawą</w:t>
      </w:r>
      <w:r w:rsidR="00675484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do</w:t>
      </w:r>
      <w:r w:rsidR="00675484" w:rsidRPr="00050569">
        <w:rPr>
          <w:rFonts w:ascii="Times New Roman" w:hAnsi="Times New Roman"/>
        </w:rPr>
        <w:t xml:space="preserve"> p</w:t>
      </w:r>
      <w:r w:rsidRPr="00050569">
        <w:rPr>
          <w:rFonts w:ascii="Times New Roman" w:hAnsi="Times New Roman"/>
        </w:rPr>
        <w:t xml:space="preserve">rzeprowadzenia badania ucznia w poradni którego wzór stanowi </w:t>
      </w:r>
      <w:r w:rsidRPr="00050569">
        <w:rPr>
          <w:rFonts w:ascii="Times New Roman" w:hAnsi="Times New Roman"/>
          <w:u w:val="single"/>
        </w:rPr>
        <w:t>załącznik nr 3</w:t>
      </w:r>
      <w:r w:rsidR="00FD1350" w:rsidRPr="00050569">
        <w:rPr>
          <w:rFonts w:ascii="Times New Roman" w:hAnsi="Times New Roman"/>
          <w:u w:val="single"/>
        </w:rPr>
        <w:t xml:space="preserve"> </w:t>
      </w:r>
      <w:r w:rsidRPr="00050569">
        <w:rPr>
          <w:rFonts w:ascii="Times New Roman" w:hAnsi="Times New Roman"/>
        </w:rPr>
        <w:t xml:space="preserve">do regulaminu;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wydziale – należy przez to rozumieć Wydział Edukacji, Kultury, Sportu, Turystyki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i Zdrowia Publicznego Starostwa Powiatowego w Kwidzynie.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Wszelkie dokumenty składane przez niepełnoletniego ucznia, a mające wpływ na sposób uczestnictwa w projekcie, muszą zawierać podpis rodzica lub opiekuna prawnego.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Rekrutacja jest prowadzona zgodnie z zasadą równości szans kobiet i mężczyzn.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Przyjmuje się zasadę rozstrzygania wątpliwości związanych z rekrutacją na korzyść ucznia. 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2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Tryby rekrutacji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15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może stać się uczestnikiem projektu w następujących trybach: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standardowej, 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uzupełniającej, 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przeniesienia ucznia z innego LCNK, </w:t>
      </w:r>
    </w:p>
    <w:p w:rsidR="00FB2D6E" w:rsidRPr="00050569" w:rsidRDefault="00FB2D6E" w:rsidP="00FB2D6E">
      <w:pPr>
        <w:tabs>
          <w:tab w:val="left" w:pos="360"/>
        </w:tabs>
        <w:suppressAutoHyphens/>
        <w:spacing w:line="276" w:lineRule="auto"/>
        <w:ind w:left="1080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2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 xml:space="preserve">rekrutacji w trybie „otwartych drzwi”, 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w trybie kontynuacji uczestnictwa.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zakwalifikowany do projektu zobowiązany jest do złożenia w LCNK deklaracji uczestnictwa w projekcie.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-1843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finansowania całości lub części działań w ramach projektu z funduszy strukturalnych Unii Europejskiej, uczeń zakwalifikowany do projektu zobowiązany jest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do złożenia w LCNK wymaganych dokumentów zgodnie z umową lub decyzją</w:t>
      </w:r>
      <w:r w:rsidR="0000013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 dofinansowaniu projektu.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-311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wypadku, o którym mowa w ust. 3, mogą mieć zastosowane dodatkowe warunki udziału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projekcie, w szczególności związane z miejscem zamieszkania, które zostaną przedstawione uczniowi przed podjęciem decyzji o udziale w projekcie. </w:t>
      </w:r>
    </w:p>
    <w:p w:rsidR="00D10CAF" w:rsidRPr="00050569" w:rsidRDefault="00D10CAF" w:rsidP="00795178">
      <w:pPr>
        <w:numPr>
          <w:ilvl w:val="0"/>
          <w:numId w:val="15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Odmowa złożenia deklaracji, o której mowa w ust. 2, lub dokumentów, o których mowa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ust. 3, uniemożliwia udział w projekcie.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-3828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składa wniosek oraz arkusz nominacji w LCNK w powiecie właściwym ze względu na:</w:t>
      </w:r>
    </w:p>
    <w:p w:rsidR="00D10CAF" w:rsidRPr="00050569" w:rsidRDefault="00D10CAF" w:rsidP="00795178">
      <w:pPr>
        <w:numPr>
          <w:ilvl w:val="0"/>
          <w:numId w:val="35"/>
        </w:numPr>
        <w:tabs>
          <w:tab w:val="left" w:pos="945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miejsce zamieszkania albo </w:t>
      </w:r>
    </w:p>
    <w:p w:rsidR="00D10CAF" w:rsidRPr="00050569" w:rsidRDefault="00D10CAF" w:rsidP="00795178">
      <w:pPr>
        <w:numPr>
          <w:ilvl w:val="0"/>
          <w:numId w:val="35"/>
        </w:numPr>
        <w:tabs>
          <w:tab w:val="left" w:pos="945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miejsce nauki. 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3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Rekrutacja standardowa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3"/>
          <w:numId w:val="15"/>
        </w:numPr>
        <w:tabs>
          <w:tab w:val="left" w:pos="-142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standardowa to nabór uczniów do projektu prowadzony corocznie przed rozpoczęciem realizacji form wsparcia w danym roku szkolnym. </w:t>
      </w:r>
    </w:p>
    <w:p w:rsidR="00D10CAF" w:rsidRPr="00050569" w:rsidRDefault="00D10CAF" w:rsidP="00795178">
      <w:pPr>
        <w:numPr>
          <w:ilvl w:val="3"/>
          <w:numId w:val="15"/>
        </w:numPr>
        <w:tabs>
          <w:tab w:val="left" w:pos="-1843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standardowa w obszarze matematyki, fizyki i informatyki prowadzona jest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 następujących etapach:</w:t>
      </w:r>
    </w:p>
    <w:p w:rsidR="00D10CAF" w:rsidRPr="00050569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złożenie wniosku, arkusza nominacji i oświadczenia w poradni, </w:t>
      </w:r>
    </w:p>
    <w:p w:rsidR="00D10CAF" w:rsidRPr="00050569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badania diagnostyczne prowadzone w poradni – w terminie uzgodnionym indywidualnie, </w:t>
      </w:r>
    </w:p>
    <w:p w:rsidR="00D10CAF" w:rsidRPr="00050569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 uzdolnień kierunkowych. </w:t>
      </w:r>
    </w:p>
    <w:p w:rsidR="00D10CAF" w:rsidRPr="00050569" w:rsidRDefault="00D10CAF" w:rsidP="00795178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Rekrutacja standardowa w obszarze biologii i chemii oraz obszarze kompetencji społecznych prowadzona jest w następujących etapach:</w:t>
      </w:r>
    </w:p>
    <w:p w:rsidR="00D10CAF" w:rsidRPr="00050569" w:rsidRDefault="00D10CAF" w:rsidP="00795178">
      <w:pPr>
        <w:pStyle w:val="Akapitzlist"/>
        <w:numPr>
          <w:ilvl w:val="0"/>
          <w:numId w:val="36"/>
        </w:numPr>
        <w:spacing w:line="276" w:lineRule="auto"/>
      </w:pPr>
      <w:r w:rsidRPr="00050569">
        <w:t xml:space="preserve">złożenie arkusza nominacji i oświadczenia w poradni, </w:t>
      </w:r>
    </w:p>
    <w:p w:rsidR="00D10CAF" w:rsidRPr="00050569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realizacja projektu kwalifikacyjnego, </w:t>
      </w:r>
    </w:p>
    <w:p w:rsidR="00D10CAF" w:rsidRPr="00050569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przekazanie rezultatu projektu, </w:t>
      </w:r>
    </w:p>
    <w:p w:rsidR="00D10CAF" w:rsidRPr="00050569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prezentacja projektów, </w:t>
      </w:r>
    </w:p>
    <w:p w:rsidR="00D10CAF" w:rsidRPr="00050569" w:rsidRDefault="00576692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badania diagnostyczne prowadzone w poradni – w terminie uzgodnionym indywidualnie, przy czym możliwe jest przeprowadzenie badań przed prezentacją projektów.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3"/>
          <w:numId w:val="15"/>
        </w:num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Prawo do nominowania ucznia do projektu posiadają: 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pełnoletni uczeń, 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nauczyciel, pedagog lub psycholog,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rodzic lub opiekun prawny,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inna osoba pełnoletnia, która dostrzega wybitne uzdolnienia ucznia. </w:t>
      </w:r>
    </w:p>
    <w:p w:rsidR="00576692" w:rsidRPr="00050569" w:rsidRDefault="00FB2D6E" w:rsidP="00FB2D6E">
      <w:pPr>
        <w:suppressAutoHyphens/>
        <w:spacing w:line="276" w:lineRule="auto"/>
        <w:ind w:left="426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3</w:t>
      </w:r>
    </w:p>
    <w:p w:rsidR="00D10CAF" w:rsidRPr="00050569" w:rsidRDefault="00D10CAF" w:rsidP="00795178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Uczniowie, którzy spełnili warunki określone w liście wymaganych osiągnięć</w:t>
      </w:r>
      <w:r w:rsidR="00675484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 olimpiadach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i konkursach, korzystają z uproszczonej formy rekrutacji: </w:t>
      </w:r>
    </w:p>
    <w:p w:rsidR="00D10CAF" w:rsidRPr="00050569" w:rsidRDefault="00D10CAF" w:rsidP="00795178">
      <w:pPr>
        <w:numPr>
          <w:ilvl w:val="0"/>
          <w:numId w:val="3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nie uczestniczą w teście uzdolnień kierunkowych lub nie przygotowują projektu kwalifikacyjnego, </w:t>
      </w:r>
    </w:p>
    <w:p w:rsidR="00D10CAF" w:rsidRPr="00050569" w:rsidRDefault="00D10CAF" w:rsidP="00795178">
      <w:pPr>
        <w:numPr>
          <w:ilvl w:val="0"/>
          <w:numId w:val="3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uzyskują maksymalną możliwą w rekrutacji liczbę punktów i w konsekwencji są rekrutowani do projektu w pierwszej kolejności. </w:t>
      </w:r>
    </w:p>
    <w:p w:rsidR="00576692" w:rsidRPr="00050569" w:rsidRDefault="00D10CAF" w:rsidP="00576692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przypadku uczniów, o których mowa w ust. 5, wymagane jest załączenie do arkusza nominacji kopii dokumentu potwierdzającego uzyskany tytuł. </w:t>
      </w:r>
    </w:p>
    <w:p w:rsidR="00576692" w:rsidRPr="00050569" w:rsidRDefault="00576692" w:rsidP="00576692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składając dokumenty rekrutacyjne wskazuje: </w:t>
      </w:r>
    </w:p>
    <w:p w:rsidR="00576692" w:rsidRPr="00050569" w:rsidRDefault="00576692" w:rsidP="00576692">
      <w:pPr>
        <w:pStyle w:val="Akapitzlist"/>
        <w:numPr>
          <w:ilvl w:val="4"/>
          <w:numId w:val="43"/>
        </w:numPr>
        <w:suppressAutoHyphens w:val="0"/>
        <w:ind w:left="1134"/>
        <w:contextualSpacing/>
        <w:jc w:val="both"/>
      </w:pPr>
      <w:r w:rsidRPr="00050569">
        <w:t xml:space="preserve">przedmiot pierwszego wyboru, </w:t>
      </w:r>
    </w:p>
    <w:p w:rsidR="00576692" w:rsidRPr="00050569" w:rsidRDefault="00576692" w:rsidP="00576692">
      <w:pPr>
        <w:pStyle w:val="Akapitzlist"/>
        <w:numPr>
          <w:ilvl w:val="4"/>
          <w:numId w:val="43"/>
        </w:numPr>
        <w:suppressAutoHyphens w:val="0"/>
        <w:ind w:left="1134"/>
        <w:contextualSpacing/>
        <w:jc w:val="both"/>
      </w:pPr>
      <w:r w:rsidRPr="00050569">
        <w:t xml:space="preserve">przedmiot drugiego wyboru, tj. przedmiot, który proponowany będzie uczniowi </w:t>
      </w:r>
      <w:r w:rsidRPr="00050569">
        <w:br/>
        <w:t xml:space="preserve">w razie braku miejsc lub uzyskania zbyt małej liczby punktów w rekrutacji </w:t>
      </w:r>
      <w:r w:rsidRPr="00050569">
        <w:br/>
        <w:t xml:space="preserve">na przedmiot pierwszego wyboru. </w:t>
      </w:r>
    </w:p>
    <w:p w:rsidR="00576692" w:rsidRPr="00050569" w:rsidRDefault="00576692" w:rsidP="00576692">
      <w:pPr>
        <w:pStyle w:val="Akapitzlist"/>
        <w:numPr>
          <w:ilvl w:val="0"/>
          <w:numId w:val="45"/>
        </w:numPr>
        <w:jc w:val="both"/>
      </w:pPr>
      <w:r w:rsidRPr="00050569">
        <w:t xml:space="preserve">W sytuacji wyboru przez ucznia przedmiotów z dwóch obszarów: </w:t>
      </w:r>
    </w:p>
    <w:p w:rsidR="00576692" w:rsidRPr="00050569" w:rsidRDefault="00576692" w:rsidP="00576692">
      <w:pPr>
        <w:pStyle w:val="Akapitzlist"/>
        <w:numPr>
          <w:ilvl w:val="0"/>
          <w:numId w:val="44"/>
        </w:numPr>
        <w:suppressAutoHyphens w:val="0"/>
        <w:ind w:left="1134"/>
        <w:contextualSpacing/>
        <w:jc w:val="both"/>
      </w:pPr>
      <w:r w:rsidRPr="00050569">
        <w:t>w wypadku wyboru obszaru obejmującego matematykę, fizykę i informatykę oraz obszaru obejmującego biologię i chemię lub kompetencje społeczne – uczeń zobowiązany będzie zarówno do udziału w TUK, jak i do opracowania projektu rekrutacyjnego,</w:t>
      </w:r>
    </w:p>
    <w:p w:rsidR="00576692" w:rsidRPr="00050569" w:rsidRDefault="00576692" w:rsidP="00576692">
      <w:pPr>
        <w:pStyle w:val="Akapitzlist"/>
        <w:numPr>
          <w:ilvl w:val="0"/>
          <w:numId w:val="44"/>
        </w:numPr>
        <w:suppressAutoHyphens w:val="0"/>
        <w:ind w:left="1134"/>
        <w:contextualSpacing/>
        <w:jc w:val="both"/>
      </w:pPr>
      <w:r w:rsidRPr="00050569">
        <w:t xml:space="preserve">w wypadku wyboru obszaru obejmującego biologię i chemię oraz obszaru kompetencji społecznych – uczeń zobowiązany będzie do opracowania dwóch odrębnych projektów rekrutacyjnych. </w:t>
      </w:r>
    </w:p>
    <w:p w:rsidR="00576692" w:rsidRPr="00050569" w:rsidRDefault="00576692" w:rsidP="00576692">
      <w:pPr>
        <w:pStyle w:val="Akapitzlist"/>
        <w:numPr>
          <w:ilvl w:val="0"/>
          <w:numId w:val="45"/>
        </w:numPr>
        <w:jc w:val="both"/>
      </w:pPr>
      <w:r w:rsidRPr="00050569">
        <w:t xml:space="preserve">W wypadku wyboru przez ucznia jako przedmiotów, o których mowa w ust. 7, biologii oraz chemii: </w:t>
      </w:r>
    </w:p>
    <w:p w:rsidR="00576692" w:rsidRPr="00050569" w:rsidRDefault="00576692" w:rsidP="00576692">
      <w:pPr>
        <w:pStyle w:val="Akapitzlist"/>
        <w:numPr>
          <w:ilvl w:val="4"/>
          <w:numId w:val="44"/>
        </w:numPr>
        <w:suppressAutoHyphens w:val="0"/>
        <w:ind w:left="1134" w:hanging="426"/>
        <w:contextualSpacing/>
        <w:jc w:val="both"/>
      </w:pPr>
      <w:r w:rsidRPr="00050569">
        <w:t>uczeń opracowuje jeden projekt rekrutacyjny, który łączy dwa tematy z zakresu biologii i chemii (spośród podanych),</w:t>
      </w:r>
    </w:p>
    <w:p w:rsidR="00576692" w:rsidRPr="00050569" w:rsidRDefault="00576692" w:rsidP="00576692">
      <w:pPr>
        <w:pStyle w:val="Akapitzlist"/>
        <w:numPr>
          <w:ilvl w:val="4"/>
          <w:numId w:val="44"/>
        </w:numPr>
        <w:suppressAutoHyphens w:val="0"/>
        <w:ind w:left="1134" w:hanging="426"/>
        <w:contextualSpacing/>
        <w:jc w:val="both"/>
      </w:pPr>
      <w:r w:rsidRPr="00050569">
        <w:t xml:space="preserve">projekt rekrutacyjny, o którym mowa w pkt 1, zostanie oceniony odrębnie </w:t>
      </w:r>
      <w:r w:rsidRPr="00050569">
        <w:br/>
        <w:t xml:space="preserve">pod kątem każdej z tych dziedzin. </w:t>
      </w:r>
    </w:p>
    <w:p w:rsidR="00576692" w:rsidRPr="00050569" w:rsidRDefault="00576692" w:rsidP="00576692">
      <w:pPr>
        <w:pStyle w:val="Akapitzlist"/>
        <w:numPr>
          <w:ilvl w:val="0"/>
          <w:numId w:val="45"/>
        </w:numPr>
        <w:jc w:val="both"/>
      </w:pPr>
      <w:r w:rsidRPr="00050569">
        <w:t xml:space="preserve"> W sytuacjach, o których mowa w ust. 8 i 9, wyniki uzyskane przez ucznia w procesie rekrutacji uwzględnione zostaną w sporządzaniu list, o których mowa w § 14, z obu przedmiotów wybranych przez ucznia.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ind w:left="709" w:hanging="709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4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Rekrutacja uzupełniająca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uzupełniająca to nabór uczniów do projektu prowadzony w trakcie realizacji form wsparcia w ramach projektu, w wypadku zwolnienia się miejsc w projekcie. </w:t>
      </w:r>
    </w:p>
    <w:p w:rsidR="00D10CAF" w:rsidRPr="00050569" w:rsidRDefault="00D10CAF" w:rsidP="00795178">
      <w:pPr>
        <w:numPr>
          <w:ilvl w:val="3"/>
          <w:numId w:val="41"/>
        </w:numPr>
        <w:tabs>
          <w:tab w:val="left" w:pos="-311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Rekrutacja, o której mowa w ust. 1, prowadzona jest w miarę potrzeb, z uwzględnieniem charakterystyki wolnych miejsc (etap edukacyjny, przedmiot wsparcia). </w:t>
      </w:r>
    </w:p>
    <w:p w:rsidR="00D10CAF" w:rsidRPr="00050569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Udział w projekcie w pierwszej kolejności proponuje się kolejno, poczynając</w:t>
      </w:r>
      <w:r w:rsidR="00675484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od największej liczby uzyskanych punktów, uczniom z listy rezerwowej, o której mowa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§ 14 ust. 6. </w:t>
      </w:r>
    </w:p>
    <w:p w:rsidR="00D31E99" w:rsidRPr="00050569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Jeśli w wyniku procedury, o której mowa w ust. 3, nie uda się zapełnić wolnych miejsc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grupach, rekrutację uzupełniającą prowadzi się w sposób analogiczny jak w trybie rekrutacji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standardowej,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o której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mowa w § 3, z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zastrzeżeniem, że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wypadku </w:t>
      </w:r>
      <w:r w:rsidR="00D31E99" w:rsidRPr="00050569">
        <w:rPr>
          <w:rFonts w:ascii="Times New Roman" w:hAnsi="Times New Roman"/>
        </w:rPr>
        <w:t xml:space="preserve">  </w:t>
      </w:r>
      <w:r w:rsidRPr="00050569">
        <w:rPr>
          <w:rFonts w:ascii="Times New Roman" w:hAnsi="Times New Roman"/>
        </w:rPr>
        <w:t xml:space="preserve">liczby </w:t>
      </w:r>
    </w:p>
    <w:p w:rsidR="00D31E99" w:rsidRPr="00050569" w:rsidRDefault="00D31E99" w:rsidP="00D31E99">
      <w:pPr>
        <w:suppressAutoHyphens/>
        <w:spacing w:line="276" w:lineRule="auto"/>
        <w:ind w:left="360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360"/>
        <w:jc w:val="right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360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4</w:t>
      </w:r>
    </w:p>
    <w:p w:rsidR="00D10CAF" w:rsidRPr="00050569" w:rsidRDefault="00D10CAF" w:rsidP="00D31E99">
      <w:pPr>
        <w:suppressAutoHyphens/>
        <w:spacing w:line="276" w:lineRule="auto"/>
        <w:ind w:left="36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 xml:space="preserve">zgłoszeń uczniów nie przekraczającej liczby wolnych miejsc, decyzją komisji możliwe jest odstąpienie od przeprowadzenia testu uzdolnień kierunkowych lub realizacji przez uczniów projektów kwalifikacyjnych. </w:t>
      </w: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5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Rekrutacja w trybie przeniesienia ucznia z innego LCNK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16"/>
        </w:numPr>
        <w:tabs>
          <w:tab w:val="left" w:pos="-1418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w trybie przeniesienia ucznia z innego LCNK to nabór uczniów do projektu prowadzony w wypadku złożenia przez ucznia wniosku o zmianę LCNK, którego wzór stanowi </w:t>
      </w:r>
      <w:r w:rsidRPr="00050569">
        <w:rPr>
          <w:rFonts w:ascii="Times New Roman" w:hAnsi="Times New Roman"/>
          <w:u w:val="single"/>
        </w:rPr>
        <w:t>załącznik nr 4</w:t>
      </w:r>
      <w:r w:rsidRPr="00050569">
        <w:rPr>
          <w:rFonts w:ascii="Times New Roman" w:hAnsi="Times New Roman"/>
        </w:rPr>
        <w:t xml:space="preserve"> do regulaminu;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1418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ma możliwość wnioskowania o zmianę LCNK w następujących wypadkach:</w:t>
      </w:r>
    </w:p>
    <w:p w:rsidR="00D10CAF" w:rsidRPr="00050569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zmiana miejsca zamieszkania, </w:t>
      </w:r>
    </w:p>
    <w:p w:rsidR="00D10CAF" w:rsidRPr="00050569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zmiana miejsca nauki, </w:t>
      </w:r>
    </w:p>
    <w:p w:rsidR="00D10CAF" w:rsidRPr="00050569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zaistnienie innych uzasadnionych przyczyn.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1134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Procedura zmiany LCNK: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składa w dotychczasowym LCNK wniosek o zmianę LCNK wraz  </w:t>
      </w:r>
      <w:r w:rsidRPr="00050569">
        <w:rPr>
          <w:rFonts w:ascii="Times New Roman" w:hAnsi="Times New Roman"/>
        </w:rPr>
        <w:br/>
        <w:t xml:space="preserve">z oświadczeniem, 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musi udokumentować zaistnienie przesłanek uzasadniających zmianę LCNK, opisanych w ust. 2, poprzez załączenie do wniosku kopii odpowiednich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dokumentów, </w:t>
      </w:r>
    </w:p>
    <w:p w:rsidR="00D10CAF" w:rsidRPr="00050569" w:rsidRDefault="00D10CAF" w:rsidP="00F25766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dotychczasowe LCNK sporządza na wniosku opinię dot. zmiany LCNK przez ucznia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i przesyła wniosek wraz z załącznikami i oświadczenie do RCNK, 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RCNK ma prawo do wezwania ucznia do przedstawienia oryginałów dokumentów,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 których mowa w pkt 2 oraz złożenia dodatkowych wyjaśnień, 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RCNK przekazuje do nowego LCNK wniosek ucznia o zmianę LCNK zawierający opinię z dotychczasowego LCNK i rekomendację RCNK dot. wniosku oraz oświadczenie.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4111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Decyzję o wyrażeniu zgody na przeniesienie ucznia z innego LCNK podejmuje komisja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na podstawie dokumentów otrzymanych z RCNK.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2268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Wyrażenie zgody na zmianę LCNK następuje tylko w uzasadnionych wypadkach i jest uzależnione w szczególności od liczebności grupy, z której odszedłby oraz grupy do której dołączyłby wnioskujący uczeń. </w:t>
      </w:r>
    </w:p>
    <w:p w:rsidR="00D10CAF" w:rsidRPr="00050569" w:rsidRDefault="00D10CAF" w:rsidP="00795178">
      <w:pPr>
        <w:numPr>
          <w:ilvl w:val="3"/>
          <w:numId w:val="1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zostanie poinformowany przez komisję o zgodzie na zmianę LCNK lub o jej odmowie.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1560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odmowy zgody na zmianę LCNK uczeń może kontynuować udział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projekcie w dotychczasowym LCNK lub złożyć rezygnację z udziału w projekcie. </w:t>
      </w:r>
    </w:p>
    <w:p w:rsidR="00D10CAF" w:rsidRPr="00050569" w:rsidRDefault="00D10CAF" w:rsidP="00795178">
      <w:pPr>
        <w:numPr>
          <w:ilvl w:val="3"/>
          <w:numId w:val="1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Dołączenie ucznia do projektu w innym LCNK może spowodować zmianę liczby uczniów w grupie wykraczającą poza zalecane limity określone w modelu. </w:t>
      </w: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FB2D6E" w:rsidP="00FB2D6E">
      <w:pPr>
        <w:tabs>
          <w:tab w:val="left" w:pos="945"/>
        </w:tabs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5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lastRenderedPageBreak/>
        <w:t>§ 6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Rekrutacja w trybie „otwartych drzwi”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w trybie „otwartych drzwi” to nabór uczniów do projektu, prowadzony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trakcie realizacji form wsparcia w ramach projektu, obejmujący uczniów, którzy spełnili warunki określone w liście wymaganych osiągnięć w olimpiadach i konkursach bądź uzyskali tytuł laureata Ligi zadaniowej organizowanej w ramach systemu wspierania uczniów uzdolnionych „Zdolni z Pomorza”. </w:t>
      </w:r>
    </w:p>
    <w:p w:rsidR="00D10CAF" w:rsidRPr="00050569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wypadku uzyskania przez komisję rekrutacyjną wiedzy na temat spełnienia przez ucznia zamieszkałego lub uczęszczającego do szkoły na terenie powiatu kwidzyńskiego warunków określonych w liście wymaganych osiągnięć w olimpiadach i konkursach bądź uzyskania tytułu laureata Ligi zadaniowej organizowanej w ramach systemu wspierania uczniów uzdolnionych „Zdolni z Pomorza”, komisja może zaproponować takiemu uczniowi udział</w:t>
      </w:r>
      <w:r w:rsidR="00EA50B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 projekcie. </w:t>
      </w:r>
    </w:p>
    <w:p w:rsidR="00D10CAF" w:rsidRPr="00050569" w:rsidRDefault="00D10CAF" w:rsidP="00795178">
      <w:pPr>
        <w:numPr>
          <w:ilvl w:val="3"/>
          <w:numId w:val="17"/>
        </w:numPr>
        <w:tabs>
          <w:tab w:val="left" w:pos="-4536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Procedura rekrutacji w trybie „otwartych drzwi”:</w:t>
      </w:r>
    </w:p>
    <w:p w:rsidR="00D10CAF" w:rsidRPr="00050569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składa arkusz nominacji i oświadczenie w LCNK, wymagane jest załączenie kopii dokumentu potwierdzającego uzyskany tytuł laureata lub finalisty, </w:t>
      </w:r>
    </w:p>
    <w:p w:rsidR="00D10CAF" w:rsidRPr="00050569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podejmuje decyzję dot. zakwalifikowania ucznia do projektu, </w:t>
      </w:r>
    </w:p>
    <w:p w:rsidR="00D10CAF" w:rsidRPr="00050569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wypadku pozytywnej decyzji uczeń może rozpocząć udział w formach wsparcia w ramach projektu, przy czym – jeżeli uczeń nie posiada opinii psychologicznej uwzględniającej udział w systemie wspierania uczniów szczególnie uzdolnionych „Zdolni z Pomorza” – jest zobowiązany do odbycia badań w poradni w ciągu miesiąca od daty rozpoczęcia udziału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 projekcie. </w:t>
      </w:r>
    </w:p>
    <w:p w:rsidR="00D10CAF" w:rsidRPr="00050569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Dołączenie ucznia do projektu w trybie „otwartych drzwi” może spowodować zmianę liczby uczniów w grupie wykraczającą poza zalecane limity określone w modelu. 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7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Rekrutacja w trybie kontynuacji uczestnictwa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Rekrutacja w trybie kontynuacji uczestnictwa to włączenie do projektu ucznia, który uczestniczył w systemie wspierania uczniów uzdolnionych „Zdolni z Pomorza”, tj.: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projekcie pn. „Pomorskie – dobry kurs n</w:t>
      </w:r>
      <w:r w:rsidR="00000137" w:rsidRPr="00050569">
        <w:rPr>
          <w:rFonts w:ascii="Times New Roman" w:hAnsi="Times New Roman"/>
        </w:rPr>
        <w:t xml:space="preserve">a edukację. Wspieranie uczniów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o szczególnych predyspozycjach w zakresie matematyki, fizyki i informatyki”, zrealizowanym w latach 2010-2013 przez Samorząd Województwa Pomorskiego lub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„Programie „Zdolni z Pomorza”, realizowanym w latach 2014-2016</w:t>
      </w:r>
      <w:r w:rsidR="0000013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i koordynowanym przez RCNK lub</w:t>
      </w:r>
    </w:p>
    <w:p w:rsidR="00D10CAF" w:rsidRPr="00050569" w:rsidRDefault="00D10CAF" w:rsidP="00795178">
      <w:pPr>
        <w:numPr>
          <w:ilvl w:val="4"/>
          <w:numId w:val="18"/>
        </w:numPr>
        <w:tabs>
          <w:tab w:val="left" w:pos="993"/>
        </w:tabs>
        <w:suppressAutoHyphens/>
        <w:spacing w:line="276" w:lineRule="auto"/>
        <w:ind w:left="1418" w:hanging="709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 w Lokalnym Programie Wspierania Uzdolnień w Powiecie Kwidzyńskim w  latach 2013-2015 będącego kontynuacją </w:t>
      </w:r>
      <w:r w:rsidRPr="00050569">
        <w:rPr>
          <w:rFonts w:ascii="Times New Roman" w:hAnsi="Times New Roman"/>
          <w:i/>
        </w:rPr>
        <w:t>Zdolnych z Pomorza.</w:t>
      </w:r>
    </w:p>
    <w:p w:rsidR="00D10CAF" w:rsidRPr="00050569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może skorzystać z rekrutacji w trybie kontynuacji uczestnictwa wyłącznie wówczas, jeśli ubiega się o udział w projekcie w tym samym obszarze, w którym uczestniczył uprzednio w systemie wspierania uczniów uzdolnionych „Zdolni z Pomorza”. </w:t>
      </w: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6</w:t>
      </w:r>
    </w:p>
    <w:p w:rsidR="00D10CAF" w:rsidRPr="00050569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W wypadku uzyskania przez komisję wiedzy na temat kontynuacji nauki przez ucznia zamieszkałego lub uczęszczającego do szkoły na terenie powiatu kwidzyńskiego, spełniającego warunek, o którym mowa w ust. 1, komisja może zaproponować takiemu uczniowi udział w projekcie.</w:t>
      </w:r>
    </w:p>
    <w:p w:rsidR="00D10CAF" w:rsidRPr="00050569" w:rsidRDefault="00D10CAF" w:rsidP="00795178">
      <w:pPr>
        <w:numPr>
          <w:ilvl w:val="3"/>
          <w:numId w:val="18"/>
        </w:numPr>
        <w:tabs>
          <w:tab w:val="left" w:pos="-1985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Procedura rekrutacji w trybie kontynuacji uczestnictwa: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składa arkusz nominacji i oświadczenie w LCNK, wraz z informacją</w:t>
      </w:r>
      <w:r w:rsidR="0000013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="00000137" w:rsidRPr="00050569">
        <w:rPr>
          <w:rFonts w:ascii="Times New Roman" w:hAnsi="Times New Roman"/>
        </w:rPr>
        <w:t>o</w:t>
      </w:r>
      <w:r w:rsidRPr="00050569">
        <w:rPr>
          <w:rFonts w:ascii="Times New Roman" w:hAnsi="Times New Roman"/>
        </w:rPr>
        <w:t xml:space="preserve"> wcześniejszym uczestnictwie w systemie wspierania uczniów uzdolnionych „Zdolni z Pomorza”, 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weryfikuje informacje dot. wcześniejszego uczestnictwa w systemie wspierania uczniów uzdolnionych „Zdolni z Pomorza”,</w:t>
      </w:r>
      <w:r w:rsidR="0056681A" w:rsidRPr="00050569">
        <w:rPr>
          <w:rFonts w:ascii="Times New Roman" w:hAnsi="Times New Roman"/>
        </w:rPr>
        <w:t xml:space="preserve"> w</w:t>
      </w:r>
      <w:r w:rsidRPr="00050569">
        <w:rPr>
          <w:rFonts w:ascii="Times New Roman" w:hAnsi="Times New Roman"/>
        </w:rPr>
        <w:t xml:space="preserve"> razie potrzeby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we współpracy z pozostałymi LCNK i RCNK, 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podejmuje decyzję dot. zakwalifikowania ucznia do projektu, 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pozytywnej decyzji uczeń może rozpocząć udział w formach wsparcia w ramach projektu, przy czym – jeżeli uczeń nie posiada opinii psychologicznej uwzględniającej udział w systemie wspierania uczniów szczególnie uzdolnionych „Zdolni z Pomorza” – jest zobowiązany do odbycia badań w poradni w ciągu miesiąca od daty rozpoczęcia udziału w projekcie. </w:t>
      </w:r>
    </w:p>
    <w:p w:rsidR="0056681A" w:rsidRPr="00050569" w:rsidRDefault="0056681A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8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Informowanie o rekrutacji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14"/>
        </w:numPr>
        <w:suppressAutoHyphens/>
        <w:spacing w:line="276" w:lineRule="auto"/>
        <w:ind w:left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Na stronie internetowej LCNK w ramach portalu zdolnizpomorza.pomorskie.eu oraz na stronie www.powiatkwidzynski.pl oraz www.pppkwidzyn.pl udostępnione zostaną następujące informacje oraz dokumenty do pobrania: </w:t>
      </w:r>
    </w:p>
    <w:p w:rsidR="00D10CAF" w:rsidRPr="00050569" w:rsidRDefault="00D10CAF" w:rsidP="00795178">
      <w:pPr>
        <w:numPr>
          <w:ilvl w:val="0"/>
          <w:numId w:val="11"/>
        </w:numPr>
        <w:suppressAutoHyphens/>
        <w:spacing w:line="276" w:lineRule="auto"/>
        <w:ind w:left="709" w:hanging="29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regulamin rekrutacji,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709" w:hanging="29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wzory wymaganych dokumentów, w szczególności: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wniosek, 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arkusz nominacji, </w:t>
      </w:r>
    </w:p>
    <w:p w:rsidR="0056681A" w:rsidRPr="00050569" w:rsidRDefault="0056681A" w:rsidP="0056681A">
      <w:pPr>
        <w:suppressAutoHyphens/>
        <w:spacing w:line="276" w:lineRule="auto"/>
        <w:ind w:left="1440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deklaracja uczestnika projektu, 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wniosek o zmianę LCNK, 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oświadczenie,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informacja o etapach edukacyjnych i klasach objętych rekrutacją,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informacja o terminach dot. rekrutacji,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rankingowa,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uczniów zakwalifikowanych do projektu,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rezerwowa,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wymaganych osiągnięć w olimpiadach i konkursach. </w:t>
      </w:r>
    </w:p>
    <w:p w:rsidR="00D10CAF" w:rsidRPr="00050569" w:rsidRDefault="00D10CAF" w:rsidP="00795178">
      <w:pPr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zapewni przekazanie informacji o rekrutacji do szkół na terenie powiatu kwidzyńskiego.</w:t>
      </w:r>
    </w:p>
    <w:p w:rsidR="00D10CAF" w:rsidRPr="00050569" w:rsidRDefault="0042318B" w:rsidP="00795178">
      <w:pPr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050569">
        <w:rPr>
          <w:rFonts w:ascii="Times New Roman" w:hAnsi="Times New Roman"/>
        </w:rPr>
        <w:t>(uchylony)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  <w:b/>
        </w:rPr>
      </w:pPr>
    </w:p>
    <w:p w:rsidR="0042318B" w:rsidRPr="00050569" w:rsidRDefault="0042318B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FB2D6E" w:rsidP="00FB2D6E">
      <w:pPr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7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lastRenderedPageBreak/>
        <w:t>§ 9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Komisja rekrutacyjna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Kwalifikacji uczniów do projektu dokonuje komisja powoływana przez Starostę Kwidzyńskiego.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skład komisji wchodzą co najmniej następujące osoby: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psycholog, 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nauczyciel z dziedziny objętej wsparciem,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przedstawiciel powiatu, 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przedstawiciel LCNK.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Przewodniczący komisji odpowiedzialny jest za organizację jej pracy oraz zapewnienie bezstronności i przejrzystości prac komisji.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Jeśli punktacja w liście rankingowej nie jest rozstrzygająca, komisja podejmuje decyzję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 zakwalifikowaniu ucznia do udziału w projekcie na podstawie danych zawartych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arkuszu nominacji.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przekazuje do wydziału:</w:t>
      </w:r>
    </w:p>
    <w:p w:rsidR="00D10CAF" w:rsidRPr="00050569" w:rsidRDefault="00D10CAF" w:rsidP="00795178">
      <w:pPr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rekrutacji standardowej: </w:t>
      </w:r>
    </w:p>
    <w:p w:rsidR="00D10CAF" w:rsidRPr="00050569" w:rsidRDefault="00D10CAF" w:rsidP="00795178">
      <w:pPr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terminie dwóch tygodni po zakończeniu naboru wniosków i arkuszy nominacji – sprawozdanie uwzględniające zgłoszenia laureatów/finalistów, zawierające dane statystyczne dot. złożonych wniosków,</w:t>
      </w:r>
    </w:p>
    <w:p w:rsidR="00D10CAF" w:rsidRPr="00050569" w:rsidRDefault="00D10CAF" w:rsidP="00795178">
      <w:pPr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 zakończeniu prac komisji obejmujących procedurę rekrutacji </w:t>
      </w:r>
      <w:r w:rsidR="00EA50B7" w:rsidRPr="00050569">
        <w:rPr>
          <w:rFonts w:ascii="Times New Roman" w:hAnsi="Times New Roman"/>
        </w:rPr>
        <w:t>s</w:t>
      </w:r>
      <w:r w:rsidRPr="00050569">
        <w:rPr>
          <w:rFonts w:ascii="Times New Roman" w:hAnsi="Times New Roman"/>
        </w:rPr>
        <w:t>tandardowej – listę uczniów zakwalifikowanych do udziału w projekcie wraz z listą rezerwową,</w:t>
      </w:r>
    </w:p>
    <w:p w:rsidR="00D10CAF" w:rsidRPr="00050569" w:rsidRDefault="00D10CAF" w:rsidP="00795178">
      <w:pPr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pozostałych trybów rekrutacji komisja przekazuje dane w terminie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do</w:t>
      </w:r>
      <w:r w:rsidR="0056681A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dwóch tygodni po zakończeniu rekrutacji, wraz z aktualną listą uczniów zakwalifikowanych do udziału w projekcie oraz listą rezerwową.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pracować może w następujący sposób: </w:t>
      </w:r>
    </w:p>
    <w:p w:rsidR="00D10CAF" w:rsidRPr="00050569" w:rsidRDefault="00D10CAF" w:rsidP="00795178">
      <w:pPr>
        <w:numPr>
          <w:ilvl w:val="0"/>
          <w:numId w:val="30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na posiedzeniach zwoływanych przez przewodniczącego komisji, </w:t>
      </w:r>
    </w:p>
    <w:p w:rsidR="00D10CAF" w:rsidRPr="00050569" w:rsidRDefault="00D10CAF" w:rsidP="00795178">
      <w:pPr>
        <w:numPr>
          <w:ilvl w:val="0"/>
          <w:numId w:val="30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korespondencyjnie, z wykorzystaniem poczty elektronicznej.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Niezależnie od trybu pracy komisji, aby ustalenia były wiążące, w pracach musi brać udział ponad połowa członków komisji.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podejmuje decyzję większością głosów, w sytuacji równej liczby głosów decyduje głos przewodniczącego.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Prace komisji są dokumentowane w formie protokołów.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10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Odwołania w procesie rekrutacji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Odwołanie dotyczące zakwalifikowania do projektu może złożyć rodzic/opiekun prawny ucznia lub pełnoletni uczeń.</w:t>
      </w:r>
    </w:p>
    <w:p w:rsidR="00D10CAF" w:rsidRPr="00050569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Odwołanie należy zgłosić pisemnie albo poprzez pocztę elektroniczną w terminie 5 dni kalendarzowych do przewodniczącego komisji, licząc od dnia: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 xml:space="preserve">ogłoszenia listy, o której mowa w § 8 ust 1 pkt 5, </w:t>
      </w:r>
    </w:p>
    <w:p w:rsidR="0042318B" w:rsidRPr="00050569" w:rsidRDefault="00FB2D6E" w:rsidP="00FB2D6E">
      <w:pPr>
        <w:pStyle w:val="NormalnyWeb"/>
        <w:tabs>
          <w:tab w:val="left" w:pos="426"/>
        </w:tabs>
        <w:spacing w:after="0"/>
        <w:jc w:val="right"/>
        <w:rPr>
          <w:color w:val="auto"/>
        </w:rPr>
      </w:pPr>
      <w:r w:rsidRPr="00050569">
        <w:rPr>
          <w:color w:val="auto"/>
        </w:rPr>
        <w:t>8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lastRenderedPageBreak/>
        <w:t xml:space="preserve">podjęcia przez komisję decyzji, o której mowa w § 6 ust. 3 pkt 2, 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 xml:space="preserve">podjęcia przez komisję decyzji, o której mowa w § 7 ust. 3 pkt 3. </w:t>
      </w:r>
    </w:p>
    <w:p w:rsidR="00D10CAF" w:rsidRPr="00050569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Odwołanie musi zawierać co najmniej: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dane osobowe oraz kontaktowe ucznia, a w wypadku ucznia niepełnoletniego także dane jego rodzica/opiekuna prawnego,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 xml:space="preserve">uzasadnienie merytoryczne dot. zakresu odwołania, 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podpis ucznia oraz w wypadku ucznia niepełnoletniego podpis jego</w:t>
      </w:r>
      <w:r w:rsidR="00EA50B7" w:rsidRPr="00050569">
        <w:rPr>
          <w:color w:val="auto"/>
        </w:rPr>
        <w:t xml:space="preserve"> </w:t>
      </w:r>
      <w:r w:rsidRPr="00050569">
        <w:rPr>
          <w:color w:val="auto"/>
        </w:rPr>
        <w:t xml:space="preserve">rodzica/opiekuna prawnego. </w:t>
      </w:r>
    </w:p>
    <w:p w:rsidR="00D10CAF" w:rsidRPr="00050569" w:rsidRDefault="00D10CAF" w:rsidP="00795178">
      <w:pPr>
        <w:numPr>
          <w:ilvl w:val="0"/>
          <w:numId w:val="2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Odwołania wniesione po terminie lub nie zawierające wszystkich elementów, o których mowa w ust. 3, pozostawia się bez rozpoznania. </w:t>
      </w:r>
    </w:p>
    <w:p w:rsidR="00D10CAF" w:rsidRPr="00050569" w:rsidRDefault="00D10CAF" w:rsidP="00795178">
      <w:pPr>
        <w:numPr>
          <w:ilvl w:val="0"/>
          <w:numId w:val="2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w terminie do 14 dni podejmuje decyzję o uwzględnieniu lub odrzuceniu odwołania oraz informuje ucznia o sposobie rozpatrzenia odwołania. 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11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Test uzdolnień kierunkowych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3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stosowany jest w rekrutacji standardowej w obszarze matematyki, fizyki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i informatyki. 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1843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zapewniany jest przez RCNK i przekazywany komisji. 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4253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sprawdza jakość rozumowania i działania w sytuacjach nietypowych, dojrzałość </w:t>
      </w:r>
      <w:r w:rsidRPr="00050569">
        <w:rPr>
          <w:rFonts w:ascii="Times New Roman" w:hAnsi="Times New Roman"/>
        </w:rPr>
        <w:br/>
        <w:t xml:space="preserve">i niestandardowość myślenia. 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2552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Poziom TUK wyprzedza wiedzę szkolną i etap rozwoju poznawczego odpowiadający wiekowi ucznia, jednak test nie wymaga wiedzy faktograficznej z poszczególnych dziedzin wykraczającej poza wiedzę szkolną. </w:t>
      </w:r>
    </w:p>
    <w:p w:rsidR="00D10CAF" w:rsidRPr="00050569" w:rsidRDefault="00D10CAF" w:rsidP="00795178">
      <w:pPr>
        <w:numPr>
          <w:ilvl w:val="3"/>
          <w:numId w:val="3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przeprowadza TUK w terminie wskazanym przez RCNK, w wyznaczonym przez siebie miejscu. Dopuszcza się możliwość przeprowadzenia testu uzdolnień kierunkowych</w:t>
      </w:r>
      <w:r w:rsidR="0000013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w drugim terminie w usprawiedliwionych przypadkach nieobecności ucznia.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1985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Procedura przeprowadzenia TUK przekazana zostanie komisji przez RCNK. </w:t>
      </w:r>
    </w:p>
    <w:p w:rsidR="00D10CAF" w:rsidRPr="00050569" w:rsidRDefault="00D10CAF" w:rsidP="00795178">
      <w:pPr>
        <w:spacing w:line="276" w:lineRule="auto"/>
        <w:ind w:left="426" w:hanging="426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spacing w:line="276" w:lineRule="auto"/>
        <w:ind w:left="426" w:hanging="426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12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Badania diagnostyczne w poradni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32"/>
        </w:numPr>
        <w:tabs>
          <w:tab w:val="left" w:pos="-311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Niezależnie od trybu rekrutacji uczeń, jeśli nie posiada opinii psychologicznej uwzględniającej udział w systemie wspierania uczniów szczególnie uzdolnionych „Zdolni z Pomorza”, przechodzi badania w poradni.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Badanie w poradni przeprowadzane jest na wniosek pełnoletniego ucznia, a wypadku ucznia niepełnoletniego – na wniosek rodzica lub opiekuna prawnego.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Badanie w poradni obejmuje:</w:t>
      </w:r>
    </w:p>
    <w:p w:rsidR="0042318B" w:rsidRPr="00050569" w:rsidRDefault="00D10CAF" w:rsidP="009339A9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wywiad z uczniem, dający m.in. odpowiedź na pytania o zaangażowanie ucznia, chęć i motywację do samorozwoju oraz udziału w projekcie, </w:t>
      </w:r>
    </w:p>
    <w:p w:rsidR="00D10CAF" w:rsidRPr="00050569" w:rsidRDefault="00D10CAF" w:rsidP="00795178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rozmowę z rodzicem lub opiekunem prawnym – w wypadku ucznia niepełnoletniego, </w:t>
      </w:r>
    </w:p>
    <w:p w:rsidR="00FB2D6E" w:rsidRPr="00050569" w:rsidRDefault="00FB2D6E" w:rsidP="00FB2D6E">
      <w:pPr>
        <w:tabs>
          <w:tab w:val="left" w:pos="360"/>
        </w:tabs>
        <w:suppressAutoHyphens/>
        <w:spacing w:line="276" w:lineRule="auto"/>
        <w:ind w:left="1080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9</w:t>
      </w:r>
    </w:p>
    <w:p w:rsidR="00D10CAF" w:rsidRPr="00050569" w:rsidRDefault="00D10CAF" w:rsidP="00795178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przeprowadzenie serii testów diagnostycznych, zg</w:t>
      </w:r>
      <w:r w:rsidR="00EA50B7" w:rsidRPr="00050569">
        <w:rPr>
          <w:rFonts w:ascii="Times New Roman" w:hAnsi="Times New Roman"/>
        </w:rPr>
        <w:t xml:space="preserve">odnie z zaleceniami zawartymi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modelu. </w:t>
      </w:r>
    </w:p>
    <w:p w:rsidR="00D10CAF" w:rsidRPr="00050569" w:rsidRDefault="0042318B" w:rsidP="00795178">
      <w:pPr>
        <w:numPr>
          <w:ilvl w:val="0"/>
          <w:numId w:val="32"/>
        </w:numPr>
        <w:tabs>
          <w:tab w:val="left" w:pos="-637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uczniów z etapu szkoły podstawowej młodszych niż uczniowie klasy VI, którzy w szczególnych wypadkach mogą również zostać objęci wsparciem w ramach projektu, dodatkowo badanie w poradni obejmuje ocenę dojrzałości społecznej </w:t>
      </w:r>
      <w:r w:rsidRPr="00050569">
        <w:rPr>
          <w:rFonts w:ascii="Times New Roman" w:hAnsi="Times New Roman"/>
        </w:rPr>
        <w:br/>
        <w:t>i emocjonalnej ucznia.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wyniku badań w poradni powstaje opinia, której 1 egz. zostaje przekazany pełnoletniemu uczniowi, a wypadku ucznia niepełnoletniego – rodzicowi lub opiekunowi prawnemu ucznia, a 1 egz. pozostaje w poradni.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Zawarte w opinii wskazania dla nauczycieli dotyczące pracy z dzieckiem albo pełnoletnim uczniem udostępnione będą nauczycielom prowadzącym formy wsparcia  w ramach projektu  i będą wykorzystywane w celu indywidualizacji wsparcia.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rekrutacji standardowej w obszarze matematyki, fizyki i informatyki badania diagnostyczne w poradni stanowią podstawę klasyfikacji ucznia do jednej z grup wyróżnionych w modelu, przy czym: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klasyfikacji dokonuje psycholog na podstawie wyników badań, 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poszczególnym grupom przyporządkowana jest punktacja uwzględniana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rekrutacji, jednak sposób przyznawania punktów nie pozwala na rekonstrukcję wyników poszczególnych przeprowadzonych testów, 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informacja o punktacji odnotowywana jest na arkuszu nominacji, 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punkty przyznane poszczególnym uczniom na podstawie wyników badań diagnostycznych w poradni przekazane zostaną komisji przez poradnię w formie listy zbiorczej.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Badania diagnostyczne prowadzone będą przy pomocy następujących narzędzi: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testy do badania inteligencji,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ind w:left="1077" w:hanging="357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testy do badania inteligencji i uzdolnień kierunkowych,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testy do badania zdolności twórczych,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inne testy, których przeprowadzenie badający psycholog uzna za konieczne w celu sporządzenia opinii zgodnej z zasadami sztuki. </w:t>
      </w:r>
    </w:p>
    <w:p w:rsidR="0056681A" w:rsidRPr="00050569" w:rsidRDefault="0056681A" w:rsidP="00795178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13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Projekt kwalifikacyjny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3"/>
          <w:numId w:val="38"/>
        </w:numPr>
        <w:tabs>
          <w:tab w:val="left" w:pos="-1276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Projekt kwalifikacyjny realizowany jest przez uczniów w ramach rekrutacji standardowej w obszarze biologii i chemii oraz obszarze kompetencji społecznych. </w:t>
      </w:r>
    </w:p>
    <w:p w:rsidR="00D10CAF" w:rsidRPr="00050569" w:rsidRDefault="00D10CAF" w:rsidP="00795178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Projekt kwalifikacyjny opracowywany jest przez ucznia na podstawie udostępnionego przez komisję katalogu propozycji tematycznych oraz wytycznych dot. sposobu przygotowania projektu kwalifikacyjnego.</w:t>
      </w:r>
    </w:p>
    <w:p w:rsidR="00D10CAF" w:rsidRPr="00050569" w:rsidRDefault="00D10CAF" w:rsidP="00795178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Podczas realizacji projektu kwalifikacyjnego uczeń może korzystać z opieki samodzielnie wybranego nauczyciela lub z doradztwa nauczyciela wskazanego przez LCNK. </w:t>
      </w:r>
    </w:p>
    <w:p w:rsidR="00FB2D6E" w:rsidRPr="00050569" w:rsidRDefault="00D10CAF" w:rsidP="00FB2D6E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Projekt kwalifikacyjny oceniany jest komisyjnie podczas prezentacji projektów. </w:t>
      </w: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10</w:t>
      </w:r>
    </w:p>
    <w:p w:rsidR="00D10CAF" w:rsidRPr="00050569" w:rsidRDefault="00D10CAF" w:rsidP="00FB2D6E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 xml:space="preserve">Uczeń ma do wyboru jedną z trzech form prezentacji projektu: </w:t>
      </w:r>
    </w:p>
    <w:p w:rsidR="00D10CAF" w:rsidRPr="00050569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050569">
        <w:t xml:space="preserve">plakat naukowy (poster), </w:t>
      </w:r>
    </w:p>
    <w:p w:rsidR="00D10CAF" w:rsidRPr="00050569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050569">
        <w:t xml:space="preserve">prezentacja multimedialna, </w:t>
      </w:r>
    </w:p>
    <w:p w:rsidR="00D10CAF" w:rsidRPr="00050569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050569">
        <w:t xml:space="preserve">sprawozdanie z realizacji projektu. </w:t>
      </w:r>
    </w:p>
    <w:p w:rsidR="00D10CAF" w:rsidRPr="00050569" w:rsidRDefault="00D10CAF" w:rsidP="00795178">
      <w:pPr>
        <w:numPr>
          <w:ilvl w:val="3"/>
          <w:numId w:val="38"/>
        </w:numPr>
        <w:tabs>
          <w:tab w:val="left" w:pos="-3402"/>
        </w:tabs>
        <w:suppressAutoHyphens/>
        <w:spacing w:line="276" w:lineRule="auto"/>
        <w:ind w:left="709" w:hanging="709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Wytyczne dotyczące projektu kwalifikacyjnego, prezentacji projektów i kryteriów oceny zapewniane są przez RCNK i przekazywane komisji. 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14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Listy rankingowe, listy rezerwowe, listy uczniów zakwalifikowanych do projektu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42318B" w:rsidP="0056681A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Sporządza się oddzielne listy rankingowe, listy rezerwowe oraz listy uczniów zakwalifikowanych do projektu dla każdego etapu edukacyjnego, z podziałem </w:t>
      </w:r>
      <w:r w:rsidRPr="00050569">
        <w:rPr>
          <w:rFonts w:ascii="Times New Roman" w:hAnsi="Times New Roman"/>
        </w:rPr>
        <w:br/>
        <w:t xml:space="preserve">na poszczególne dziedziny objęte wsparciem, z zastrzeżeniem, że dla uczniów, którzy rozpoczną wsparcie w ramach projektu w </w:t>
      </w:r>
      <w:r w:rsidRPr="00050569">
        <w:rPr>
          <w:rFonts w:ascii="Times New Roman" w:hAnsi="Times New Roman"/>
          <w:bCs/>
        </w:rPr>
        <w:t>VII klasie szkoły podstawowej</w:t>
      </w:r>
      <w:r w:rsidRPr="00050569">
        <w:rPr>
          <w:rFonts w:ascii="Times New Roman" w:hAnsi="Times New Roman"/>
        </w:rPr>
        <w:t>, nie ustala się podziału na poszczególne dziedziny objęte wsparciem, gdyż decyzja w tym zakresie następuje po zakończeniu pierwszego okresu udziału tych uczniów w projekcie.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Listę rankingową ustala się z uwzględnieniem punktacji przyporządkowanej: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wynikom testów przeprowadzonych w poradni (jeśli dotyczy),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wynikom testu uzdolnień kierunkowych (jeśli dotyczy),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wynikom oceny projektów kwalifikacyjnych (jeśli dotyczy),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osiągnięciom, o których mowa w § 15,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prowadzonej w trybie o którym mowa w § 2 ust. 1 pkt 5.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rankingowa uszeregowana jest zgodnie z liczbą punktów otrzymanych w ramach rekrutacji.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rankingowa obejmuje wszystkich uczniów, którzy uczestniczyli w rekrutacji standardowej.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Wraz z listą rankingową publikowana jest informacja o minimalnej liczbie punktów: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będącej warunkiem udziału w systemie wspierania uczniów uzdolnionych „Zdolni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z Pomorza”</w:t>
      </w:r>
      <w:r w:rsidRPr="00050569">
        <w:rPr>
          <w:rFonts w:ascii="Times New Roman" w:hAnsi="Times New Roman"/>
          <w:i/>
        </w:rPr>
        <w:t xml:space="preserve">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wymaganej do zakwalifikowania do udziału w projekcie.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Uczniowie z listy rankingowej, którzy nie zostali zakwalifikowani do udziału w projekcie,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ale spełniają warunki udziału w systemie wspierania uczniów uzdolnionych „Zdolni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z Pomorza”, tworzą listę rezerwową. </w:t>
      </w:r>
    </w:p>
    <w:p w:rsidR="00F13A2F" w:rsidRPr="00050569" w:rsidRDefault="00D10CAF" w:rsidP="00F13A2F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Jeżeli w wyniku prowadzonej rekrutacji lub rozpatrzenia odwołania, o którym mowa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§ 10, następuje zmiana na listach, o których mowa w ust. 1, komisja w terminie dwóch tygodni od zaistnienia zmiany udostępnia aktualne listy. </w:t>
      </w:r>
    </w:p>
    <w:p w:rsidR="00F13A2F" w:rsidRPr="00050569" w:rsidRDefault="00F13A2F" w:rsidP="00F13A2F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Dane zawarte w listach, o których mowa w ust. 1, obejmują:</w:t>
      </w:r>
    </w:p>
    <w:p w:rsidR="00F13A2F" w:rsidRPr="00050569" w:rsidRDefault="00F13A2F" w:rsidP="00F13A2F">
      <w:pPr>
        <w:pStyle w:val="Akapitzlist"/>
        <w:numPr>
          <w:ilvl w:val="1"/>
          <w:numId w:val="34"/>
        </w:numPr>
        <w:tabs>
          <w:tab w:val="left" w:pos="945"/>
        </w:tabs>
        <w:suppressAutoHyphens w:val="0"/>
        <w:contextualSpacing/>
        <w:jc w:val="both"/>
      </w:pPr>
      <w:r w:rsidRPr="00050569">
        <w:t xml:space="preserve">imię i nazwisko ucznia, </w:t>
      </w:r>
    </w:p>
    <w:p w:rsidR="00F13A2F" w:rsidRPr="00050569" w:rsidRDefault="00F13A2F" w:rsidP="00F13A2F">
      <w:pPr>
        <w:pStyle w:val="Akapitzlist"/>
        <w:numPr>
          <w:ilvl w:val="1"/>
          <w:numId w:val="34"/>
        </w:numPr>
        <w:suppressAutoHyphens w:val="0"/>
        <w:contextualSpacing/>
        <w:jc w:val="both"/>
      </w:pPr>
      <w:r w:rsidRPr="00050569">
        <w:t xml:space="preserve">miejscowość i powiat zamieszkania, </w:t>
      </w:r>
    </w:p>
    <w:p w:rsidR="00F13A2F" w:rsidRPr="00050569" w:rsidRDefault="00F13A2F" w:rsidP="00F13A2F">
      <w:pPr>
        <w:pStyle w:val="Akapitzlist"/>
        <w:numPr>
          <w:ilvl w:val="1"/>
          <w:numId w:val="34"/>
        </w:numPr>
        <w:suppressAutoHyphens w:val="0"/>
        <w:contextualSpacing/>
        <w:jc w:val="both"/>
      </w:pPr>
      <w:r w:rsidRPr="00050569">
        <w:t>liczba punktów uzyskanych w rekrutacji.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F13A2F" w:rsidRPr="00050569" w:rsidRDefault="00F13A2F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F13A2F" w:rsidRPr="00050569" w:rsidRDefault="00F13A2F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FB0D42" w:rsidRPr="00050569" w:rsidRDefault="00FB0D42" w:rsidP="00FB0D42">
      <w:pPr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11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lastRenderedPageBreak/>
        <w:t>§ 15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Lista wymaganych osiągnięć w olimpiadach i konkursach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pStyle w:val="Akapitzlist"/>
        <w:numPr>
          <w:ilvl w:val="0"/>
          <w:numId w:val="39"/>
        </w:numPr>
        <w:spacing w:line="276" w:lineRule="auto"/>
        <w:jc w:val="both"/>
      </w:pPr>
      <w:r w:rsidRPr="00050569">
        <w:t xml:space="preserve">Lista wymaganych osiągnięć uzyskanych w olimpiadach i wojewódzkich konkursach przedmiotowych opracowywana jest przez RCNK i przekazywana komisji </w:t>
      </w:r>
      <w:r w:rsidR="00E363C1" w:rsidRPr="00050569">
        <w:br/>
      </w:r>
      <w:r w:rsidRPr="00050569">
        <w:t xml:space="preserve">do </w:t>
      </w:r>
      <w:r w:rsidR="00E363C1" w:rsidRPr="00050569">
        <w:t>u</w:t>
      </w:r>
      <w:r w:rsidRPr="00050569">
        <w:t>dostępnienia.</w:t>
      </w:r>
    </w:p>
    <w:p w:rsidR="00D10CAF" w:rsidRPr="00050569" w:rsidRDefault="00D10CAF" w:rsidP="00795178">
      <w:pPr>
        <w:pStyle w:val="Akapitzlist"/>
        <w:numPr>
          <w:ilvl w:val="0"/>
          <w:numId w:val="39"/>
        </w:numPr>
        <w:spacing w:line="276" w:lineRule="auto"/>
        <w:jc w:val="both"/>
      </w:pPr>
      <w:r w:rsidRPr="00050569">
        <w:t xml:space="preserve">Lista obejmuje osiągnięcia uczniów uprawniające do skorzystania z: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uproszczonej formy rekrutacji standardowej, o której mowa w § 3 ust. 5,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  <w:b/>
        </w:rPr>
      </w:pPr>
      <w:r w:rsidRPr="00050569">
        <w:rPr>
          <w:rFonts w:ascii="Times New Roman" w:hAnsi="Times New Roman"/>
        </w:rPr>
        <w:t xml:space="preserve">rekrutacji w trybie „otwartych drzwi”. </w:t>
      </w:r>
    </w:p>
    <w:p w:rsidR="00000137" w:rsidRPr="00050569" w:rsidRDefault="00000137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16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Postanowienia końcowe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Decyzję o udziale w rekrutacji ucznia, którego wniosek wpłynął po upływie terminu rekrutacji, podejmuje komisja. </w:t>
      </w:r>
    </w:p>
    <w:p w:rsidR="00D10CAF" w:rsidRPr="00050569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sprawach nieuregulowanych regulaminem decyzje podejmuje komisja. </w:t>
      </w:r>
    </w:p>
    <w:p w:rsidR="00D10CAF" w:rsidRPr="00050569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Regulamin wchodzi w życie z dniem podpisania. </w:t>
      </w: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2162FC">
      <w:pPr>
        <w:jc w:val="right"/>
        <w:rPr>
          <w:rFonts w:ascii="Times New Roman" w:hAnsi="Times New Roman"/>
        </w:rPr>
      </w:pPr>
    </w:p>
    <w:p w:rsidR="00D10CAF" w:rsidRPr="00050569" w:rsidRDefault="00D10CAF" w:rsidP="002162FC">
      <w:pPr>
        <w:rPr>
          <w:rFonts w:ascii="Times New Roman" w:hAnsi="Times New Roman"/>
        </w:rPr>
      </w:pPr>
    </w:p>
    <w:p w:rsidR="00D10CAF" w:rsidRPr="00050569" w:rsidRDefault="00D10CAF" w:rsidP="002162FC">
      <w:pPr>
        <w:rPr>
          <w:rFonts w:ascii="Times New Roman" w:hAnsi="Times New Roman"/>
        </w:rPr>
      </w:pPr>
    </w:p>
    <w:p w:rsidR="00D10CAF" w:rsidRPr="00050569" w:rsidRDefault="00D10CAF" w:rsidP="002162FC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FB0D42">
      <w:pPr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12</w:t>
      </w:r>
    </w:p>
    <w:p w:rsidR="00FB0D42" w:rsidRPr="00050569" w:rsidRDefault="00FB0D42" w:rsidP="008C139A">
      <w:pPr>
        <w:rPr>
          <w:rFonts w:ascii="Times New Roman" w:hAnsi="Times New Roman"/>
        </w:rPr>
      </w:pPr>
    </w:p>
    <w:sectPr w:rsidR="00FB0D42" w:rsidRPr="00050569" w:rsidSect="005D1517">
      <w:footerReference w:type="default" r:id="rId7"/>
      <w:headerReference w:type="first" r:id="rId8"/>
      <w:footerReference w:type="first" r:id="rId9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46" w:rsidRDefault="00CD2E46">
      <w:r>
        <w:separator/>
      </w:r>
    </w:p>
  </w:endnote>
  <w:endnote w:type="continuationSeparator" w:id="0">
    <w:p w:rsidR="00CD2E46" w:rsidRDefault="00CD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Pr="00124D4A" w:rsidRDefault="003F082B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Pr="006D196B" w:rsidRDefault="00D10CAF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D10CAF" w:rsidRPr="006D196B" w:rsidRDefault="003F082B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CAF" w:rsidRDefault="00D10CAF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46" w:rsidRDefault="00CD2E46">
      <w:r>
        <w:separator/>
      </w:r>
    </w:p>
  </w:footnote>
  <w:footnote w:type="continuationSeparator" w:id="0">
    <w:p w:rsidR="00CD2E46" w:rsidRDefault="00CD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Default="003F082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5467985</wp:posOffset>
              </wp:positionH>
              <wp:positionV relativeFrom="paragraph">
                <wp:posOffset>949325</wp:posOffset>
              </wp:positionV>
              <wp:extent cx="885190" cy="866140"/>
              <wp:effectExtent l="19685" t="15875" r="19050" b="1333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0CAF" w:rsidRPr="009C0E15" w:rsidRDefault="003F082B" w:rsidP="005D1517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590550" cy="714375"/>
                                <wp:effectExtent l="0" t="0" r="0" b="0"/>
                                <wp:docPr id="6" name="Obraz 1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0.55pt;margin-top:74.75pt;width:69.7pt;height:6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    <v:textbox>
                <w:txbxContent>
                  <w:p w:rsidR="00D10CAF" w:rsidRPr="009C0E15" w:rsidRDefault="003F082B" w:rsidP="005D1517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590550" cy="714375"/>
                          <wp:effectExtent l="0" t="0" r="0" b="0"/>
                          <wp:docPr id="6" name="Obraz 1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7FF8ABD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5F604EF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ABC05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A62ECF7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1520D01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93D6EBC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F850DBD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E550C55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489877F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4"/>
    <w:multiLevelType w:val="multilevel"/>
    <w:tmpl w:val="00000014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5CE8ABC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00000019"/>
    <w:multiLevelType w:val="multilevel"/>
    <w:tmpl w:val="C82CF9DE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6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232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6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408" w:hanging="180"/>
      </w:pPr>
      <w:rPr>
        <w:rFonts w:cs="Times New Roman"/>
      </w:rPr>
    </w:lvl>
  </w:abstractNum>
  <w:abstractNum w:abstractNumId="25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6896DFE2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name w:val="WW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1" w15:restartNumberingAfterBreak="0">
    <w:nsid w:val="1C022DC2"/>
    <w:multiLevelType w:val="hybridMultilevel"/>
    <w:tmpl w:val="12FE11F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3A204594">
      <w:start w:val="1"/>
      <w:numFmt w:val="decimal"/>
      <w:lvlText w:val="%2)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4FECA524">
      <w:start w:val="1"/>
      <w:numFmt w:val="decimal"/>
      <w:lvlText w:val="%5)"/>
      <w:lvlJc w:val="left"/>
      <w:pPr>
        <w:ind w:left="4026" w:hanging="360"/>
      </w:pPr>
      <w:rPr>
        <w:rFonts w:ascii="Times New Roman" w:eastAsiaTheme="minorHAnsi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E1708B2"/>
    <w:multiLevelType w:val="multilevel"/>
    <w:tmpl w:val="ECAACA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33" w15:restartNumberingAfterBreak="0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 w15:restartNumberingAfterBreak="0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6" w15:restartNumberingAfterBreak="0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8" w15:restartNumberingAfterBreak="0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3766902"/>
    <w:multiLevelType w:val="multilevel"/>
    <w:tmpl w:val="8250D5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41" w15:restartNumberingAfterBreak="0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2" w15:restartNumberingAfterBreak="0">
    <w:nsid w:val="699F4C21"/>
    <w:multiLevelType w:val="hybridMultilevel"/>
    <w:tmpl w:val="F662A73E"/>
    <w:lvl w:ilvl="0" w:tplc="03FC528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77A0C154">
      <w:start w:val="1"/>
      <w:numFmt w:val="decimal"/>
      <w:lvlText w:val="%5)"/>
      <w:lvlJc w:val="left"/>
      <w:pPr>
        <w:ind w:left="4658" w:hanging="360"/>
      </w:pPr>
      <w:rPr>
        <w:rFonts w:ascii="Times New Roman" w:eastAsiaTheme="minorHAns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AEB5102"/>
    <w:multiLevelType w:val="multilevel"/>
    <w:tmpl w:val="F15E4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44" w15:restartNumberingAfterBreak="0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44"/>
  </w:num>
  <w:num w:numId="2">
    <w:abstractNumId w:val="39"/>
  </w:num>
  <w:num w:numId="3">
    <w:abstractNumId w:val="37"/>
  </w:num>
  <w:num w:numId="4">
    <w:abstractNumId w:val="38"/>
  </w:num>
  <w:num w:numId="5">
    <w:abstractNumId w:val="33"/>
  </w:num>
  <w:num w:numId="6">
    <w:abstractNumId w:val="30"/>
  </w:num>
  <w:num w:numId="7">
    <w:abstractNumId w:val="36"/>
  </w:num>
  <w:num w:numId="8">
    <w:abstractNumId w:val="41"/>
  </w:num>
  <w:num w:numId="9">
    <w:abstractNumId w:val="34"/>
  </w:num>
  <w:num w:numId="10">
    <w:abstractNumId w:val="3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8"/>
  </w:num>
  <w:num w:numId="30">
    <w:abstractNumId w:val="19"/>
  </w:num>
  <w:num w:numId="31">
    <w:abstractNumId w:val="20"/>
  </w:num>
  <w:num w:numId="32">
    <w:abstractNumId w:val="21"/>
  </w:num>
  <w:num w:numId="33">
    <w:abstractNumId w:val="22"/>
  </w:num>
  <w:num w:numId="34">
    <w:abstractNumId w:val="23"/>
  </w:num>
  <w:num w:numId="35">
    <w:abstractNumId w:val="24"/>
  </w:num>
  <w:num w:numId="36">
    <w:abstractNumId w:val="25"/>
  </w:num>
  <w:num w:numId="37">
    <w:abstractNumId w:val="26"/>
  </w:num>
  <w:num w:numId="38">
    <w:abstractNumId w:val="27"/>
  </w:num>
  <w:num w:numId="39">
    <w:abstractNumId w:val="28"/>
  </w:num>
  <w:num w:numId="40">
    <w:abstractNumId w:val="29"/>
  </w:num>
  <w:num w:numId="41">
    <w:abstractNumId w:val="43"/>
  </w:num>
  <w:num w:numId="42">
    <w:abstractNumId w:val="40"/>
  </w:num>
  <w:num w:numId="43">
    <w:abstractNumId w:val="31"/>
  </w:num>
  <w:num w:numId="44">
    <w:abstractNumId w:val="42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0137"/>
    <w:rsid w:val="00003044"/>
    <w:rsid w:val="000055FF"/>
    <w:rsid w:val="000200C9"/>
    <w:rsid w:val="00050569"/>
    <w:rsid w:val="00061F20"/>
    <w:rsid w:val="0006349E"/>
    <w:rsid w:val="0007755E"/>
    <w:rsid w:val="00080D83"/>
    <w:rsid w:val="000D283E"/>
    <w:rsid w:val="000D2F5A"/>
    <w:rsid w:val="000D6BD5"/>
    <w:rsid w:val="00100DBB"/>
    <w:rsid w:val="00124D4A"/>
    <w:rsid w:val="00130B23"/>
    <w:rsid w:val="00145080"/>
    <w:rsid w:val="001620A4"/>
    <w:rsid w:val="001815FD"/>
    <w:rsid w:val="00193CF8"/>
    <w:rsid w:val="001B210F"/>
    <w:rsid w:val="002162FC"/>
    <w:rsid w:val="00241C1F"/>
    <w:rsid w:val="002425AE"/>
    <w:rsid w:val="002C6347"/>
    <w:rsid w:val="003164DE"/>
    <w:rsid w:val="00320AAC"/>
    <w:rsid w:val="00325198"/>
    <w:rsid w:val="003355E7"/>
    <w:rsid w:val="0035482A"/>
    <w:rsid w:val="003619F2"/>
    <w:rsid w:val="00365820"/>
    <w:rsid w:val="003A022B"/>
    <w:rsid w:val="003C554F"/>
    <w:rsid w:val="003F082B"/>
    <w:rsid w:val="00400667"/>
    <w:rsid w:val="0040149C"/>
    <w:rsid w:val="00414478"/>
    <w:rsid w:val="0042318B"/>
    <w:rsid w:val="004861BD"/>
    <w:rsid w:val="00492BD3"/>
    <w:rsid w:val="004A5AA9"/>
    <w:rsid w:val="004B70BD"/>
    <w:rsid w:val="004D4BF0"/>
    <w:rsid w:val="0052111D"/>
    <w:rsid w:val="00537F26"/>
    <w:rsid w:val="00566179"/>
    <w:rsid w:val="0056681A"/>
    <w:rsid w:val="005760A9"/>
    <w:rsid w:val="00576692"/>
    <w:rsid w:val="005860F5"/>
    <w:rsid w:val="00591AD4"/>
    <w:rsid w:val="00594464"/>
    <w:rsid w:val="00594599"/>
    <w:rsid w:val="00596D3D"/>
    <w:rsid w:val="005A0BC7"/>
    <w:rsid w:val="005B770A"/>
    <w:rsid w:val="005C7C21"/>
    <w:rsid w:val="005D0AE3"/>
    <w:rsid w:val="005D1517"/>
    <w:rsid w:val="00621F12"/>
    <w:rsid w:val="00622781"/>
    <w:rsid w:val="0063189F"/>
    <w:rsid w:val="00640BFF"/>
    <w:rsid w:val="00662CF3"/>
    <w:rsid w:val="00675484"/>
    <w:rsid w:val="00677982"/>
    <w:rsid w:val="0069621B"/>
    <w:rsid w:val="006D196B"/>
    <w:rsid w:val="006E59B7"/>
    <w:rsid w:val="006F209E"/>
    <w:rsid w:val="006F3347"/>
    <w:rsid w:val="006F3D36"/>
    <w:rsid w:val="00727F94"/>
    <w:rsid w:val="007337EB"/>
    <w:rsid w:val="0073678D"/>
    <w:rsid w:val="00745D18"/>
    <w:rsid w:val="0075496B"/>
    <w:rsid w:val="00760504"/>
    <w:rsid w:val="00776530"/>
    <w:rsid w:val="0078162D"/>
    <w:rsid w:val="00791E8E"/>
    <w:rsid w:val="00795178"/>
    <w:rsid w:val="007A0109"/>
    <w:rsid w:val="007A0F1F"/>
    <w:rsid w:val="007A41C8"/>
    <w:rsid w:val="007B2500"/>
    <w:rsid w:val="007D61D6"/>
    <w:rsid w:val="007E1B19"/>
    <w:rsid w:val="007F3623"/>
    <w:rsid w:val="0082182B"/>
    <w:rsid w:val="00827311"/>
    <w:rsid w:val="00834BB4"/>
    <w:rsid w:val="00835187"/>
    <w:rsid w:val="00856E3A"/>
    <w:rsid w:val="008945D9"/>
    <w:rsid w:val="008C139A"/>
    <w:rsid w:val="009A0978"/>
    <w:rsid w:val="009C0E15"/>
    <w:rsid w:val="009D71C1"/>
    <w:rsid w:val="009F2CF0"/>
    <w:rsid w:val="00A04690"/>
    <w:rsid w:val="00A40DD3"/>
    <w:rsid w:val="00A8311B"/>
    <w:rsid w:val="00A9051C"/>
    <w:rsid w:val="00AA3267"/>
    <w:rsid w:val="00AA3E4E"/>
    <w:rsid w:val="00B01F08"/>
    <w:rsid w:val="00B16E8F"/>
    <w:rsid w:val="00B30401"/>
    <w:rsid w:val="00B47FE5"/>
    <w:rsid w:val="00B6637D"/>
    <w:rsid w:val="00B82C02"/>
    <w:rsid w:val="00BA0E74"/>
    <w:rsid w:val="00BA550B"/>
    <w:rsid w:val="00BB501D"/>
    <w:rsid w:val="00BB76D0"/>
    <w:rsid w:val="00BC363C"/>
    <w:rsid w:val="00BD71A4"/>
    <w:rsid w:val="00C03E51"/>
    <w:rsid w:val="00C44AAB"/>
    <w:rsid w:val="00C60D1E"/>
    <w:rsid w:val="00C62C24"/>
    <w:rsid w:val="00C635B6"/>
    <w:rsid w:val="00CA20F9"/>
    <w:rsid w:val="00CA23A3"/>
    <w:rsid w:val="00CA7905"/>
    <w:rsid w:val="00CB6E58"/>
    <w:rsid w:val="00CC263D"/>
    <w:rsid w:val="00CC4B87"/>
    <w:rsid w:val="00CD2E46"/>
    <w:rsid w:val="00CE005B"/>
    <w:rsid w:val="00CF1A4A"/>
    <w:rsid w:val="00D0361A"/>
    <w:rsid w:val="00D10CAF"/>
    <w:rsid w:val="00D30ADD"/>
    <w:rsid w:val="00D31E99"/>
    <w:rsid w:val="00D43A0D"/>
    <w:rsid w:val="00D46867"/>
    <w:rsid w:val="00D526F3"/>
    <w:rsid w:val="00DA287A"/>
    <w:rsid w:val="00DC733E"/>
    <w:rsid w:val="00DF57BE"/>
    <w:rsid w:val="00E06500"/>
    <w:rsid w:val="00E178C3"/>
    <w:rsid w:val="00E363C1"/>
    <w:rsid w:val="00E50746"/>
    <w:rsid w:val="00E57060"/>
    <w:rsid w:val="00E87616"/>
    <w:rsid w:val="00E92047"/>
    <w:rsid w:val="00EA50B7"/>
    <w:rsid w:val="00EA5C16"/>
    <w:rsid w:val="00EF000D"/>
    <w:rsid w:val="00F13A2F"/>
    <w:rsid w:val="00F3441C"/>
    <w:rsid w:val="00F545A3"/>
    <w:rsid w:val="00FA4A47"/>
    <w:rsid w:val="00FB0D42"/>
    <w:rsid w:val="00FB2D6E"/>
    <w:rsid w:val="00FB5706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4A1C0"/>
  <w15:docId w15:val="{BABFD758-E40D-4F06-8C9F-B16C325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795178"/>
    <w:pPr>
      <w:suppressAutoHyphens/>
      <w:spacing w:before="28" w:after="119" w:line="276" w:lineRule="auto"/>
    </w:pPr>
    <w:rPr>
      <w:rFonts w:ascii="Times New Roman" w:hAnsi="Times New Roman"/>
      <w:color w:val="000000"/>
      <w:kern w:val="1"/>
    </w:rPr>
  </w:style>
  <w:style w:type="paragraph" w:styleId="Akapitzlist">
    <w:name w:val="List Paragraph"/>
    <w:basedOn w:val="Normalny"/>
    <w:uiPriority w:val="34"/>
    <w:qFormat/>
    <w:rsid w:val="00795178"/>
    <w:pPr>
      <w:suppressAutoHyphens/>
      <w:ind w:left="720"/>
    </w:pPr>
    <w:rPr>
      <w:rFonts w:ascii="Times New Roman" w:hAnsi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66</TotalTime>
  <Pages>12</Pages>
  <Words>3540</Words>
  <Characters>21240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UMWP</Company>
  <LinksUpToDate>false</LinksUpToDate>
  <CharactersWithSpaces>24731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Katarzyna Mykowska</dc:creator>
  <cp:keywords/>
  <dc:description/>
  <cp:lastModifiedBy>Joanna Zawadzka</cp:lastModifiedBy>
  <cp:revision>32</cp:revision>
  <cp:lastPrinted>2016-11-18T08:13:00Z</cp:lastPrinted>
  <dcterms:created xsi:type="dcterms:W3CDTF">2018-05-25T12:13:00Z</dcterms:created>
  <dcterms:modified xsi:type="dcterms:W3CDTF">2019-05-30T07:51:00Z</dcterms:modified>
</cp:coreProperties>
</file>